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68" w:rsidRPr="00E12503" w:rsidRDefault="00030F68" w:rsidP="00030F68">
      <w:pPr>
        <w:pBdr>
          <w:top w:val="single" w:sz="4" w:space="1" w:color="auto"/>
          <w:left w:val="single" w:sz="4" w:space="4" w:color="auto"/>
          <w:bottom w:val="single" w:sz="4" w:space="1" w:color="auto"/>
          <w:right w:val="single" w:sz="4" w:space="4" w:color="auto"/>
        </w:pBdr>
        <w:spacing w:after="0" w:line="240" w:lineRule="auto"/>
        <w:jc w:val="both"/>
        <w:rPr>
          <w:rFonts w:ascii="Open Sans" w:hAnsi="Open Sans" w:cs="Open Sans"/>
          <w:b/>
          <w:sz w:val="24"/>
          <w:szCs w:val="24"/>
        </w:rPr>
      </w:pPr>
      <w:r w:rsidRPr="00E12503">
        <w:rPr>
          <w:rFonts w:ascii="Open Sans" w:hAnsi="Open Sans" w:cs="Open Sans"/>
          <w:b/>
          <w:sz w:val="24"/>
          <w:szCs w:val="24"/>
        </w:rPr>
        <w:t>COMPTE RENDU</w:t>
      </w:r>
    </w:p>
    <w:p w:rsidR="00030F68" w:rsidRPr="00E12503" w:rsidRDefault="00030F68" w:rsidP="00030F68">
      <w:pPr>
        <w:pBdr>
          <w:top w:val="single" w:sz="4" w:space="1" w:color="auto"/>
          <w:left w:val="single" w:sz="4" w:space="4" w:color="auto"/>
          <w:bottom w:val="single" w:sz="4" w:space="1" w:color="auto"/>
          <w:right w:val="single" w:sz="4" w:space="4" w:color="auto"/>
        </w:pBdr>
        <w:spacing w:after="0" w:line="240" w:lineRule="auto"/>
        <w:jc w:val="both"/>
        <w:rPr>
          <w:rFonts w:ascii="Open Sans" w:hAnsi="Open Sans" w:cs="Open Sans"/>
          <w:b/>
          <w:sz w:val="24"/>
          <w:szCs w:val="24"/>
        </w:rPr>
      </w:pPr>
      <w:r w:rsidRPr="00E12503">
        <w:rPr>
          <w:rFonts w:ascii="Open Sans" w:hAnsi="Open Sans" w:cs="Open Sans"/>
          <w:b/>
          <w:sz w:val="24"/>
          <w:szCs w:val="24"/>
        </w:rPr>
        <w:t xml:space="preserve">Conseil EDSP </w:t>
      </w:r>
      <w:r w:rsidR="00267BAB">
        <w:rPr>
          <w:rFonts w:ascii="Open Sans" w:hAnsi="Open Sans" w:cs="Open Sans"/>
          <w:b/>
          <w:sz w:val="24"/>
          <w:szCs w:val="24"/>
        </w:rPr>
        <w:t>18 octobre 2022</w:t>
      </w:r>
      <w:r w:rsidRPr="00E12503">
        <w:rPr>
          <w:rFonts w:ascii="Open Sans" w:hAnsi="Open Sans" w:cs="Open Sans"/>
          <w:b/>
          <w:sz w:val="24"/>
          <w:szCs w:val="24"/>
        </w:rPr>
        <w:t xml:space="preserve"> – 14h00/16h30 </w:t>
      </w:r>
    </w:p>
    <w:p w:rsidR="00030F68" w:rsidRPr="00950DF0" w:rsidRDefault="00030F68" w:rsidP="00030F68">
      <w:pPr>
        <w:pStyle w:val="NormalWeb"/>
        <w:spacing w:before="0" w:beforeAutospacing="0" w:after="0" w:afterAutospacing="0"/>
        <w:jc w:val="both"/>
        <w:rPr>
          <w:rFonts w:ascii="Open Sans" w:hAnsi="Open Sans" w:cs="Open Sans"/>
          <w:sz w:val="22"/>
          <w:szCs w:val="22"/>
        </w:rPr>
      </w:pPr>
    </w:p>
    <w:p w:rsidR="00030F68" w:rsidRPr="00C0204C" w:rsidRDefault="00030F68" w:rsidP="00030F68">
      <w:pPr>
        <w:pStyle w:val="NormalWeb"/>
        <w:spacing w:before="0" w:beforeAutospacing="0" w:after="0" w:afterAutospacing="0"/>
        <w:jc w:val="both"/>
        <w:rPr>
          <w:rFonts w:ascii="Open Sans" w:hAnsi="Open Sans" w:cs="Open Sans"/>
          <w:b/>
          <w:color w:val="63003C"/>
          <w:sz w:val="22"/>
          <w:szCs w:val="22"/>
        </w:rPr>
      </w:pPr>
      <w:r w:rsidRPr="00C0204C">
        <w:rPr>
          <w:rFonts w:ascii="Open Sans" w:hAnsi="Open Sans" w:cs="Open Sans"/>
          <w:b/>
          <w:color w:val="63003C"/>
          <w:sz w:val="22"/>
          <w:szCs w:val="22"/>
        </w:rPr>
        <w:t>Présents :</w:t>
      </w:r>
    </w:p>
    <w:p w:rsidR="00030F68" w:rsidRDefault="00030F68" w:rsidP="00030F68">
      <w:pPr>
        <w:pStyle w:val="NormalWeb"/>
        <w:spacing w:before="0" w:beforeAutospacing="0" w:after="0" w:afterAutospacing="0"/>
        <w:jc w:val="both"/>
        <w:rPr>
          <w:rFonts w:ascii="Open Sans" w:hAnsi="Open Sans" w:cs="Open Sans"/>
          <w:sz w:val="22"/>
          <w:szCs w:val="22"/>
        </w:rPr>
      </w:pPr>
    </w:p>
    <w:tbl>
      <w:tblPr>
        <w:tblW w:w="3640" w:type="dxa"/>
        <w:tblInd w:w="523" w:type="dxa"/>
        <w:tblCellMar>
          <w:left w:w="70" w:type="dxa"/>
          <w:right w:w="70" w:type="dxa"/>
        </w:tblCellMar>
        <w:tblLook w:val="04A0" w:firstRow="1" w:lastRow="0" w:firstColumn="1" w:lastColumn="0" w:noHBand="0" w:noVBand="1"/>
      </w:tblPr>
      <w:tblGrid>
        <w:gridCol w:w="2420"/>
        <w:gridCol w:w="1220"/>
      </w:tblGrid>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 xml:space="preserve">Jean </w:t>
            </w:r>
            <w:proofErr w:type="spellStart"/>
            <w:r w:rsidRPr="00C0204C">
              <w:rPr>
                <w:rFonts w:ascii="Calibri" w:eastAsia="Times New Roman" w:hAnsi="Calibri" w:cs="Calibri"/>
                <w:color w:val="000000"/>
                <w:lang w:eastAsia="fr-FR"/>
              </w:rPr>
              <w:t>Bouyer</w:t>
            </w:r>
            <w:proofErr w:type="spellEnd"/>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proofErr w:type="spellStart"/>
            <w:r w:rsidRPr="00C0204C">
              <w:rPr>
                <w:rFonts w:ascii="Calibri" w:eastAsia="Times New Roman" w:hAnsi="Calibri" w:cs="Calibri"/>
                <w:color w:val="000000"/>
                <w:lang w:eastAsia="fr-FR"/>
              </w:rPr>
              <w:t>Mariane</w:t>
            </w:r>
            <w:proofErr w:type="spellEnd"/>
            <w:r w:rsidRPr="00C0204C">
              <w:rPr>
                <w:rFonts w:ascii="Calibri" w:eastAsia="Times New Roman" w:hAnsi="Calibri" w:cs="Calibri"/>
                <w:color w:val="000000"/>
                <w:lang w:eastAsia="fr-FR"/>
              </w:rPr>
              <w:t xml:space="preserve"> </w:t>
            </w:r>
            <w:proofErr w:type="spellStart"/>
            <w:r w:rsidRPr="00C0204C">
              <w:rPr>
                <w:rFonts w:ascii="Calibri" w:eastAsia="Times New Roman" w:hAnsi="Calibri" w:cs="Calibri"/>
                <w:color w:val="000000"/>
                <w:lang w:eastAsia="fr-FR"/>
              </w:rPr>
              <w:t>Canonico</w:t>
            </w:r>
            <w:proofErr w:type="spellEnd"/>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267BAB"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Alexis Elbaz</w:t>
            </w:r>
          </w:p>
        </w:tc>
        <w:tc>
          <w:tcPr>
            <w:tcW w:w="1220" w:type="dxa"/>
            <w:tcBorders>
              <w:top w:val="single" w:sz="4" w:space="0" w:color="5B9BD5"/>
              <w:left w:val="nil"/>
              <w:bottom w:val="nil"/>
              <w:right w:val="single" w:sz="8" w:space="0" w:color="auto"/>
            </w:tcBorders>
            <w:shd w:val="clear" w:color="auto" w:fill="auto"/>
            <w:noWrap/>
            <w:vAlign w:val="bottom"/>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Sylvain Gautier</w:t>
            </w:r>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267BAB"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Adolpho Gonzalez</w:t>
            </w:r>
          </w:p>
        </w:tc>
        <w:tc>
          <w:tcPr>
            <w:tcW w:w="1220" w:type="dxa"/>
            <w:tcBorders>
              <w:top w:val="single" w:sz="4" w:space="0" w:color="5B9BD5"/>
              <w:left w:val="nil"/>
              <w:bottom w:val="nil"/>
              <w:right w:val="single" w:sz="8" w:space="0" w:color="auto"/>
            </w:tcBorders>
            <w:shd w:val="clear" w:color="auto" w:fill="auto"/>
            <w:noWrap/>
            <w:vAlign w:val="bottom"/>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Gilles </w:t>
            </w:r>
            <w:proofErr w:type="spellStart"/>
            <w:r>
              <w:rPr>
                <w:rFonts w:ascii="Calibri" w:eastAsia="Times New Roman" w:hAnsi="Calibri" w:cs="Calibri"/>
                <w:color w:val="000000"/>
                <w:lang w:eastAsia="fr-FR"/>
              </w:rPr>
              <w:t>Hejblum</w:t>
            </w:r>
            <w:proofErr w:type="spellEnd"/>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267BAB"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Julie </w:t>
            </w:r>
            <w:proofErr w:type="spellStart"/>
            <w:r>
              <w:rPr>
                <w:rFonts w:ascii="Calibri" w:eastAsia="Times New Roman" w:hAnsi="Calibri" w:cs="Calibri"/>
                <w:color w:val="000000"/>
                <w:lang w:eastAsia="fr-FR"/>
              </w:rPr>
              <w:t>Loubersac</w:t>
            </w:r>
            <w:proofErr w:type="spellEnd"/>
          </w:p>
        </w:tc>
        <w:tc>
          <w:tcPr>
            <w:tcW w:w="1220" w:type="dxa"/>
            <w:tcBorders>
              <w:top w:val="single" w:sz="4" w:space="0" w:color="5B9BD5"/>
              <w:left w:val="nil"/>
              <w:bottom w:val="nil"/>
              <w:right w:val="single" w:sz="8" w:space="0" w:color="auto"/>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Nous Ibrahim</w:t>
            </w:r>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 xml:space="preserve">Christophe </w:t>
            </w:r>
            <w:proofErr w:type="spellStart"/>
            <w:r w:rsidRPr="00C0204C">
              <w:rPr>
                <w:rFonts w:ascii="Calibri" w:eastAsia="Times New Roman" w:hAnsi="Calibri" w:cs="Calibri"/>
                <w:color w:val="000000"/>
                <w:lang w:eastAsia="fr-FR"/>
              </w:rPr>
              <w:t>Luhata</w:t>
            </w:r>
            <w:proofErr w:type="spellEnd"/>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 xml:space="preserve">Pauline </w:t>
            </w:r>
            <w:proofErr w:type="spellStart"/>
            <w:r w:rsidRPr="00C0204C">
              <w:rPr>
                <w:rFonts w:ascii="Calibri" w:eastAsia="Times New Roman" w:hAnsi="Calibri" w:cs="Calibri"/>
                <w:color w:val="000000"/>
                <w:lang w:eastAsia="fr-FR"/>
              </w:rPr>
              <w:t>Marmin</w:t>
            </w:r>
            <w:proofErr w:type="spellEnd"/>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 xml:space="preserve">Florence </w:t>
            </w:r>
            <w:proofErr w:type="spellStart"/>
            <w:r w:rsidRPr="00C0204C">
              <w:rPr>
                <w:rFonts w:ascii="Calibri" w:eastAsia="Times New Roman" w:hAnsi="Calibri" w:cs="Calibri"/>
                <w:color w:val="000000"/>
                <w:lang w:eastAsia="fr-FR"/>
              </w:rPr>
              <w:t>Menegaux</w:t>
            </w:r>
            <w:proofErr w:type="spellEnd"/>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Laurence Meyer</w:t>
            </w:r>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267BAB"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Nathalie Pelletier Fleury</w:t>
            </w:r>
          </w:p>
        </w:tc>
        <w:tc>
          <w:tcPr>
            <w:tcW w:w="1220" w:type="dxa"/>
            <w:tcBorders>
              <w:top w:val="single" w:sz="4" w:space="0" w:color="5B9BD5"/>
              <w:left w:val="nil"/>
              <w:bottom w:val="nil"/>
              <w:right w:val="single" w:sz="8" w:space="0" w:color="auto"/>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Lucie </w:t>
            </w:r>
            <w:proofErr w:type="spellStart"/>
            <w:r>
              <w:rPr>
                <w:rFonts w:ascii="Calibri" w:eastAsia="Times New Roman" w:hAnsi="Calibri" w:cs="Calibri"/>
                <w:color w:val="000000"/>
                <w:lang w:eastAsia="fr-FR"/>
              </w:rPr>
              <w:t>Penda</w:t>
            </w:r>
            <w:proofErr w:type="spellEnd"/>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267BAB"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proofErr w:type="spellStart"/>
            <w:r w:rsidRPr="00C0204C">
              <w:rPr>
                <w:rFonts w:ascii="Calibri" w:eastAsia="Times New Roman" w:hAnsi="Calibri" w:cs="Calibri"/>
                <w:color w:val="000000"/>
                <w:lang w:eastAsia="fr-FR"/>
              </w:rPr>
              <w:t>Gregoire</w:t>
            </w:r>
            <w:proofErr w:type="spellEnd"/>
            <w:r w:rsidRPr="00C0204C">
              <w:rPr>
                <w:rFonts w:ascii="Calibri" w:eastAsia="Times New Roman" w:hAnsi="Calibri" w:cs="Calibri"/>
                <w:color w:val="000000"/>
                <w:lang w:eastAsia="fr-FR"/>
              </w:rPr>
              <w:t xml:space="preserve"> Rey</w:t>
            </w:r>
          </w:p>
        </w:tc>
        <w:tc>
          <w:tcPr>
            <w:tcW w:w="1220" w:type="dxa"/>
            <w:tcBorders>
              <w:top w:val="single" w:sz="4" w:space="0" w:color="5B9BD5"/>
              <w:left w:val="nil"/>
              <w:bottom w:val="nil"/>
              <w:right w:val="single" w:sz="8" w:space="0" w:color="auto"/>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proofErr w:type="spellStart"/>
            <w:r>
              <w:rPr>
                <w:rFonts w:ascii="Calibri" w:eastAsia="Times New Roman" w:hAnsi="Calibri" w:cs="Calibri"/>
                <w:color w:val="000000"/>
                <w:lang w:eastAsia="fr-FR"/>
              </w:rPr>
              <w:t>Kira</w:t>
            </w:r>
            <w:proofErr w:type="spellEnd"/>
            <w:r>
              <w:rPr>
                <w:rFonts w:ascii="Calibri" w:eastAsia="Times New Roman" w:hAnsi="Calibri" w:cs="Calibri"/>
                <w:color w:val="000000"/>
                <w:lang w:eastAsia="fr-FR"/>
              </w:rPr>
              <w:t xml:space="preserve"> Ribeiro</w:t>
            </w:r>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Julie Rivière</w:t>
            </w:r>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Alexandra Rouquette</w:t>
            </w:r>
          </w:p>
        </w:tc>
        <w:tc>
          <w:tcPr>
            <w:tcW w:w="1220" w:type="dxa"/>
            <w:tcBorders>
              <w:top w:val="single" w:sz="4" w:space="0" w:color="5B9BD5"/>
              <w:left w:val="nil"/>
              <w:bottom w:val="nil"/>
              <w:right w:val="single" w:sz="8" w:space="0" w:color="auto"/>
            </w:tcBorders>
            <w:shd w:val="clear" w:color="auto" w:fill="auto"/>
            <w:noWrap/>
            <w:vAlign w:val="bottom"/>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Anne </w:t>
            </w:r>
            <w:proofErr w:type="spellStart"/>
            <w:r>
              <w:rPr>
                <w:rFonts w:ascii="Calibri" w:eastAsia="Times New Roman" w:hAnsi="Calibri" w:cs="Calibri"/>
                <w:color w:val="000000"/>
                <w:lang w:eastAsia="fr-FR"/>
              </w:rPr>
              <w:t>Thiébaut</w:t>
            </w:r>
            <w:proofErr w:type="spellEnd"/>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00"/>
        </w:trPr>
        <w:tc>
          <w:tcPr>
            <w:tcW w:w="2420" w:type="dxa"/>
            <w:tcBorders>
              <w:top w:val="single" w:sz="4" w:space="0" w:color="5B9BD5"/>
              <w:left w:val="single" w:sz="8" w:space="0" w:color="auto"/>
              <w:bottom w:val="nil"/>
              <w:right w:val="nil"/>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Pascale </w:t>
            </w:r>
            <w:proofErr w:type="spellStart"/>
            <w:r>
              <w:rPr>
                <w:rFonts w:ascii="Calibri" w:eastAsia="Times New Roman" w:hAnsi="Calibri" w:cs="Calibri"/>
                <w:color w:val="000000"/>
                <w:lang w:eastAsia="fr-FR"/>
              </w:rPr>
              <w:t>Tubert</w:t>
            </w:r>
            <w:proofErr w:type="spellEnd"/>
            <w:r>
              <w:rPr>
                <w:rFonts w:ascii="Calibri" w:eastAsia="Times New Roman" w:hAnsi="Calibri" w:cs="Calibri"/>
                <w:color w:val="000000"/>
                <w:lang w:eastAsia="fr-FR"/>
              </w:rPr>
              <w:t>-Bitter</w:t>
            </w:r>
          </w:p>
        </w:tc>
        <w:tc>
          <w:tcPr>
            <w:tcW w:w="1220" w:type="dxa"/>
            <w:tcBorders>
              <w:top w:val="single" w:sz="4" w:space="0" w:color="5B9BD5"/>
              <w:left w:val="nil"/>
              <w:bottom w:val="nil"/>
              <w:right w:val="single" w:sz="8" w:space="0" w:color="auto"/>
            </w:tcBorders>
            <w:shd w:val="clear" w:color="auto" w:fill="auto"/>
            <w:noWrap/>
            <w:vAlign w:val="center"/>
            <w:hideMark/>
          </w:tcPr>
          <w:p w:rsidR="00030F68" w:rsidRPr="00C0204C" w:rsidRDefault="00030F68"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267BAB" w:rsidRPr="00C0204C" w:rsidTr="00570E76">
        <w:trPr>
          <w:trHeight w:val="315"/>
        </w:trPr>
        <w:tc>
          <w:tcPr>
            <w:tcW w:w="2420" w:type="dxa"/>
            <w:tcBorders>
              <w:top w:val="single" w:sz="4" w:space="0" w:color="5B9BD5"/>
              <w:left w:val="single" w:sz="8" w:space="0" w:color="auto"/>
              <w:bottom w:val="single" w:sz="8" w:space="0" w:color="auto"/>
              <w:right w:val="nil"/>
            </w:tcBorders>
            <w:shd w:val="clear" w:color="auto" w:fill="auto"/>
            <w:noWrap/>
            <w:vAlign w:val="center"/>
            <w:hideMark/>
          </w:tcPr>
          <w:p w:rsidR="00267BAB" w:rsidRPr="00C0204C" w:rsidRDefault="00267BAB" w:rsidP="00570E76">
            <w:pPr>
              <w:spacing w:after="0" w:line="240" w:lineRule="auto"/>
              <w:jc w:val="both"/>
              <w:rPr>
                <w:rFonts w:ascii="Calibri" w:eastAsia="Times New Roman" w:hAnsi="Calibri" w:cs="Calibri"/>
                <w:color w:val="000000"/>
                <w:lang w:eastAsia="fr-FR"/>
              </w:rPr>
            </w:pPr>
            <w:proofErr w:type="spellStart"/>
            <w:r w:rsidRPr="00C0204C">
              <w:rPr>
                <w:rFonts w:ascii="Calibri" w:eastAsia="Times New Roman" w:hAnsi="Calibri" w:cs="Calibri"/>
                <w:color w:val="000000"/>
                <w:lang w:eastAsia="fr-FR"/>
              </w:rPr>
              <w:t>Raphaelle</w:t>
            </w:r>
            <w:proofErr w:type="spellEnd"/>
            <w:r w:rsidRPr="00C0204C">
              <w:rPr>
                <w:rFonts w:ascii="Calibri" w:eastAsia="Times New Roman" w:hAnsi="Calibri" w:cs="Calibri"/>
                <w:color w:val="000000"/>
                <w:lang w:eastAsia="fr-FR"/>
              </w:rPr>
              <w:t xml:space="preserve"> </w:t>
            </w:r>
            <w:proofErr w:type="spellStart"/>
            <w:r w:rsidRPr="00C0204C">
              <w:rPr>
                <w:rFonts w:ascii="Calibri" w:eastAsia="Times New Roman" w:hAnsi="Calibri" w:cs="Calibri"/>
                <w:color w:val="000000"/>
                <w:lang w:eastAsia="fr-FR"/>
              </w:rPr>
              <w:t>Varraso</w:t>
            </w:r>
            <w:proofErr w:type="spellEnd"/>
          </w:p>
        </w:tc>
        <w:tc>
          <w:tcPr>
            <w:tcW w:w="1220" w:type="dxa"/>
            <w:tcBorders>
              <w:top w:val="single" w:sz="4" w:space="0" w:color="5B9BD5"/>
              <w:left w:val="nil"/>
              <w:bottom w:val="single" w:sz="8" w:space="0" w:color="auto"/>
              <w:right w:val="single" w:sz="8" w:space="0" w:color="auto"/>
            </w:tcBorders>
            <w:shd w:val="clear" w:color="auto" w:fill="auto"/>
            <w:noWrap/>
            <w:vAlign w:val="bottom"/>
            <w:hideMark/>
          </w:tcPr>
          <w:p w:rsidR="00267BAB"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présentiel</w:t>
            </w:r>
          </w:p>
        </w:tc>
      </w:tr>
      <w:tr w:rsidR="00030F68" w:rsidRPr="00C0204C" w:rsidTr="00570E76">
        <w:trPr>
          <w:trHeight w:val="315"/>
        </w:trPr>
        <w:tc>
          <w:tcPr>
            <w:tcW w:w="2420" w:type="dxa"/>
            <w:tcBorders>
              <w:top w:val="single" w:sz="4" w:space="0" w:color="5B9BD5"/>
              <w:left w:val="single" w:sz="8" w:space="0" w:color="auto"/>
              <w:bottom w:val="single" w:sz="8" w:space="0" w:color="auto"/>
              <w:right w:val="nil"/>
            </w:tcBorders>
            <w:shd w:val="clear" w:color="auto" w:fill="auto"/>
            <w:noWrap/>
            <w:vAlign w:val="center"/>
            <w:hideMark/>
          </w:tcPr>
          <w:p w:rsidR="00030F68" w:rsidRPr="00C0204C" w:rsidRDefault="00267BAB" w:rsidP="00570E7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Mahmoud </w:t>
            </w:r>
            <w:proofErr w:type="spellStart"/>
            <w:r>
              <w:rPr>
                <w:rFonts w:ascii="Calibri" w:eastAsia="Times New Roman" w:hAnsi="Calibri" w:cs="Calibri"/>
                <w:color w:val="000000"/>
                <w:lang w:eastAsia="fr-FR"/>
              </w:rPr>
              <w:t>Zureik</w:t>
            </w:r>
            <w:proofErr w:type="spellEnd"/>
          </w:p>
        </w:tc>
        <w:tc>
          <w:tcPr>
            <w:tcW w:w="1220" w:type="dxa"/>
            <w:tcBorders>
              <w:top w:val="single" w:sz="4" w:space="0" w:color="5B9BD5"/>
              <w:left w:val="nil"/>
              <w:bottom w:val="single" w:sz="8" w:space="0" w:color="auto"/>
              <w:right w:val="single" w:sz="8" w:space="0" w:color="auto"/>
            </w:tcBorders>
            <w:shd w:val="clear" w:color="auto" w:fill="auto"/>
            <w:noWrap/>
            <w:vAlign w:val="bottom"/>
            <w:hideMark/>
          </w:tcPr>
          <w:p w:rsidR="00030F68" w:rsidRPr="00C0204C" w:rsidRDefault="00267BAB" w:rsidP="00570E76">
            <w:pPr>
              <w:spacing w:after="0" w:line="240" w:lineRule="auto"/>
              <w:jc w:val="both"/>
              <w:rPr>
                <w:rFonts w:ascii="Calibri" w:eastAsia="Times New Roman" w:hAnsi="Calibri" w:cs="Calibri"/>
                <w:color w:val="000000"/>
                <w:lang w:eastAsia="fr-FR"/>
              </w:rPr>
            </w:pPr>
            <w:r w:rsidRPr="00C0204C">
              <w:rPr>
                <w:rFonts w:ascii="Calibri" w:eastAsia="Times New Roman" w:hAnsi="Calibri" w:cs="Calibri"/>
                <w:color w:val="000000"/>
                <w:lang w:eastAsia="fr-FR"/>
              </w:rPr>
              <w:t>En ligne</w:t>
            </w:r>
          </w:p>
        </w:tc>
      </w:tr>
    </w:tbl>
    <w:p w:rsidR="00030F68" w:rsidRDefault="00030F68" w:rsidP="00030F68">
      <w:pPr>
        <w:pStyle w:val="NormalWeb"/>
        <w:spacing w:before="0" w:beforeAutospacing="0" w:after="0" w:afterAutospacing="0"/>
        <w:jc w:val="both"/>
        <w:rPr>
          <w:rFonts w:ascii="Open Sans" w:hAnsi="Open Sans" w:cs="Open Sans"/>
          <w:sz w:val="22"/>
          <w:szCs w:val="22"/>
        </w:rPr>
      </w:pPr>
    </w:p>
    <w:p w:rsidR="00877D3C" w:rsidRDefault="00877D3C"/>
    <w:p w:rsidR="00233E95" w:rsidRPr="00C0204C"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sidRPr="00C0204C">
        <w:rPr>
          <w:rFonts w:ascii="Open Sans" w:hAnsi="Open Sans" w:cs="Open Sans"/>
          <w:b/>
          <w:color w:val="5B9BD5" w:themeColor="accent1"/>
        </w:rPr>
        <w:t xml:space="preserve">Approbation du compte-rendu du conseil du </w:t>
      </w:r>
      <w:r>
        <w:rPr>
          <w:rFonts w:ascii="Open Sans" w:hAnsi="Open Sans" w:cs="Open Sans"/>
          <w:b/>
          <w:color w:val="5B9BD5" w:themeColor="accent1"/>
        </w:rPr>
        <w:t>18</w:t>
      </w:r>
      <w:r w:rsidRPr="00C0204C">
        <w:rPr>
          <w:rFonts w:ascii="Open Sans" w:hAnsi="Open Sans" w:cs="Open Sans"/>
          <w:b/>
          <w:color w:val="5B9BD5" w:themeColor="accent1"/>
        </w:rPr>
        <w:t xml:space="preserve"> janvier 2022 (doc. joint)</w:t>
      </w:r>
    </w:p>
    <w:p w:rsidR="00233E95" w:rsidRDefault="00233E95" w:rsidP="00233E95">
      <w:pPr>
        <w:pStyle w:val="NormalWeb"/>
        <w:spacing w:before="0" w:beforeAutospacing="0" w:after="0" w:afterAutospacing="0"/>
        <w:jc w:val="both"/>
        <w:rPr>
          <w:rFonts w:ascii="Open Sans" w:hAnsi="Open Sans" w:cs="Open Sans"/>
        </w:rPr>
      </w:pPr>
    </w:p>
    <w:p w:rsidR="00233E95" w:rsidRPr="00C0204C" w:rsidRDefault="00233E95" w:rsidP="00233E95">
      <w:pPr>
        <w:pStyle w:val="NormalWeb"/>
        <w:spacing w:before="0" w:beforeAutospacing="0" w:after="0" w:afterAutospacing="0"/>
        <w:jc w:val="both"/>
        <w:rPr>
          <w:rFonts w:ascii="Open Sans" w:hAnsi="Open Sans" w:cs="Open Sans"/>
        </w:rPr>
      </w:pPr>
      <w:r w:rsidRPr="00C0204C">
        <w:rPr>
          <w:rFonts w:ascii="Open Sans" w:hAnsi="Open Sans" w:cs="Open Sans"/>
        </w:rPr>
        <w:t>Aucun commentaire n’a été émis</w:t>
      </w:r>
    </w:p>
    <w:p w:rsidR="00233E95" w:rsidRDefault="00233E95" w:rsidP="00233E9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Open Sans" w:hAnsi="Open Sans" w:cs="Open Sans"/>
        </w:rPr>
      </w:pPr>
      <w:r>
        <w:rPr>
          <w:rFonts w:ascii="Open Sans" w:hAnsi="Open Sans" w:cs="Open Sans"/>
        </w:rPr>
        <w:t>Abstention : 0</w:t>
      </w:r>
    </w:p>
    <w:p w:rsidR="00233E95" w:rsidRDefault="00233E95" w:rsidP="00233E9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Open Sans" w:hAnsi="Open Sans" w:cs="Open Sans"/>
        </w:rPr>
      </w:pPr>
      <w:r>
        <w:rPr>
          <w:rFonts w:ascii="Open Sans" w:hAnsi="Open Sans" w:cs="Open Sans"/>
        </w:rPr>
        <w:t>Contre : 0</w:t>
      </w:r>
    </w:p>
    <w:p w:rsidR="00233E95" w:rsidRDefault="00233E95" w:rsidP="00233E9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Open Sans" w:hAnsi="Open Sans" w:cs="Open Sans"/>
        </w:rPr>
      </w:pPr>
      <w:r>
        <w:rPr>
          <w:rFonts w:ascii="Open Sans" w:hAnsi="Open Sans" w:cs="Open Sans"/>
        </w:rPr>
        <w:t>Pour : unanimité</w:t>
      </w:r>
    </w:p>
    <w:p w:rsidR="00233E95" w:rsidRPr="00D55DF2" w:rsidRDefault="00233E95" w:rsidP="00233E9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Open Sans" w:hAnsi="Open Sans" w:cs="Open Sans"/>
          <w:b/>
          <w:i/>
        </w:rPr>
      </w:pPr>
      <w:r w:rsidRPr="00D55DF2">
        <w:rPr>
          <w:rFonts w:ascii="Open Sans" w:hAnsi="Open Sans" w:cs="Open Sans"/>
          <w:b/>
          <w:i/>
        </w:rPr>
        <w:t>Compte rendu approuvé à l’unanimité.</w:t>
      </w:r>
    </w:p>
    <w:p w:rsidR="00233E95" w:rsidRDefault="00233E95" w:rsidP="00233E95">
      <w:pPr>
        <w:pStyle w:val="NormalWeb"/>
        <w:spacing w:before="0" w:beforeAutospacing="0" w:after="0" w:afterAutospacing="0"/>
        <w:jc w:val="both"/>
        <w:rPr>
          <w:rFonts w:ascii="Open Sans" w:hAnsi="Open Sans" w:cs="Open Sans"/>
        </w:rPr>
      </w:pPr>
    </w:p>
    <w:p w:rsidR="00233E95"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Pr>
          <w:rFonts w:ascii="Open Sans" w:hAnsi="Open Sans" w:cs="Open Sans"/>
          <w:b/>
          <w:color w:val="5B9BD5" w:themeColor="accent1"/>
        </w:rPr>
        <w:t>Retour sur les contrats doctoraux 2022</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233E95" w:rsidRPr="00233E95" w:rsidRDefault="00233E95" w:rsidP="00233E95">
      <w:pPr>
        <w:pStyle w:val="NormalWeb"/>
        <w:spacing w:before="0" w:beforeAutospacing="0" w:after="0" w:afterAutospacing="0"/>
        <w:jc w:val="both"/>
        <w:rPr>
          <w:rFonts w:ascii="Open Sans" w:hAnsi="Open Sans" w:cs="Open Sans"/>
        </w:rPr>
      </w:pPr>
      <w:r w:rsidRPr="00233E95">
        <w:rPr>
          <w:rFonts w:ascii="Open Sans" w:hAnsi="Open Sans" w:cs="Open Sans"/>
        </w:rPr>
        <w:t>Pour les contrats doctoraux 2022, 23 sujets</w:t>
      </w:r>
      <w:r>
        <w:rPr>
          <w:rFonts w:ascii="Open Sans" w:hAnsi="Open Sans" w:cs="Open Sans"/>
        </w:rPr>
        <w:t xml:space="preserve"> de thèse ont été déposés dans ADUM. Parmi ces 23 sujets, 19 candidats ont été auditionnés (3 sujets n’ont pas trouvé de candidat) par un jury unique en présentiel les 13 et 14 juin 2022</w:t>
      </w:r>
      <w:r w:rsidR="003C5D3E">
        <w:rPr>
          <w:rFonts w:ascii="Open Sans" w:hAnsi="Open Sans" w:cs="Open Sans"/>
        </w:rPr>
        <w:t>. Parmi ces 19 candidats,</w:t>
      </w:r>
      <w:r>
        <w:rPr>
          <w:rFonts w:ascii="Open Sans" w:hAnsi="Open Sans" w:cs="Open Sans"/>
        </w:rPr>
        <w:t xml:space="preserve"> 17 candidats ont été</w:t>
      </w:r>
      <w:r w:rsidR="003C5D3E">
        <w:rPr>
          <w:rFonts w:ascii="Open Sans" w:hAnsi="Open Sans" w:cs="Open Sans"/>
        </w:rPr>
        <w:t xml:space="preserve"> classés en liste principale et liste complémentaire.</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233E95"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Pr>
          <w:rFonts w:ascii="Open Sans" w:hAnsi="Open Sans" w:cs="Open Sans"/>
          <w:b/>
          <w:color w:val="5B9BD5" w:themeColor="accent1"/>
        </w:rPr>
        <w:t>Point sur les dérogations en 4</w:t>
      </w:r>
      <w:r w:rsidRPr="00233E95">
        <w:rPr>
          <w:rFonts w:ascii="Open Sans" w:hAnsi="Open Sans" w:cs="Open Sans"/>
          <w:b/>
          <w:color w:val="5B9BD5" w:themeColor="accent1"/>
          <w:vertAlign w:val="superscript"/>
        </w:rPr>
        <w:t>ème</w:t>
      </w:r>
      <w:r>
        <w:rPr>
          <w:rFonts w:ascii="Open Sans" w:hAnsi="Open Sans" w:cs="Open Sans"/>
          <w:b/>
          <w:color w:val="5B9BD5" w:themeColor="accent1"/>
        </w:rPr>
        <w:t xml:space="preserve"> année et plus</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3C5D3E" w:rsidRDefault="003C5D3E" w:rsidP="00233E95">
      <w:pPr>
        <w:pStyle w:val="NormalWeb"/>
        <w:spacing w:before="0" w:beforeAutospacing="0" w:after="0" w:afterAutospacing="0"/>
        <w:jc w:val="both"/>
        <w:rPr>
          <w:rFonts w:ascii="Open Sans" w:hAnsi="Open Sans" w:cs="Open Sans"/>
        </w:rPr>
      </w:pPr>
      <w:r>
        <w:rPr>
          <w:rFonts w:ascii="Open Sans" w:hAnsi="Open Sans" w:cs="Open Sans"/>
        </w:rPr>
        <w:t>Pour la rentrée universitaire 2022-2023, 42 doctorants se sont réinscrits en 4</w:t>
      </w:r>
      <w:r w:rsidRPr="003C5D3E">
        <w:rPr>
          <w:rFonts w:ascii="Open Sans" w:hAnsi="Open Sans" w:cs="Open Sans"/>
          <w:vertAlign w:val="superscript"/>
        </w:rPr>
        <w:t>ème</w:t>
      </w:r>
      <w:r>
        <w:rPr>
          <w:rFonts w:ascii="Open Sans" w:hAnsi="Open Sans" w:cs="Open Sans"/>
        </w:rPr>
        <w:t xml:space="preserve"> année ou plus avec une soutenance crédible en 2023 pour 35 doctorants. Quelques doctorants rencontrent des difficultés plus importantes avec une possibilité d’abandon ou de prolongation prévisible au-delà de 2023. </w:t>
      </w:r>
    </w:p>
    <w:p w:rsidR="003C5D3E" w:rsidRPr="003C5D3E" w:rsidRDefault="003C5D3E" w:rsidP="00233E95">
      <w:pPr>
        <w:pStyle w:val="NormalWeb"/>
        <w:spacing w:before="0" w:beforeAutospacing="0" w:after="0" w:afterAutospacing="0"/>
        <w:jc w:val="both"/>
        <w:rPr>
          <w:rFonts w:ascii="Open Sans" w:hAnsi="Open Sans" w:cs="Open Sans"/>
        </w:rPr>
      </w:pPr>
    </w:p>
    <w:p w:rsidR="00233E95"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Pr>
          <w:rFonts w:ascii="Open Sans" w:hAnsi="Open Sans" w:cs="Open Sans"/>
          <w:b/>
          <w:color w:val="5B9BD5" w:themeColor="accent1"/>
        </w:rPr>
        <w:t xml:space="preserve">Informations sur les changements cadre règlementaire du doctorat </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3C5D3E" w:rsidRDefault="003C5D3E" w:rsidP="00233E95">
      <w:pPr>
        <w:pStyle w:val="NormalWeb"/>
        <w:spacing w:before="0" w:beforeAutospacing="0" w:after="0" w:afterAutospacing="0"/>
        <w:jc w:val="both"/>
        <w:rPr>
          <w:rFonts w:ascii="Open Sans" w:hAnsi="Open Sans" w:cs="Open Sans"/>
        </w:rPr>
      </w:pPr>
      <w:r>
        <w:rPr>
          <w:rFonts w:ascii="Open Sans" w:hAnsi="Open Sans" w:cs="Open Sans"/>
        </w:rPr>
        <w:t>En aout 2022, un arrêté modificatif de celui du 25 mai 2016 a été publié avec un impact sur l’organisation de l’EDSP et la vie des doctorants.</w:t>
      </w:r>
    </w:p>
    <w:p w:rsidR="003C5D3E" w:rsidRDefault="003C5D3E" w:rsidP="00233E95">
      <w:pPr>
        <w:pStyle w:val="NormalWeb"/>
        <w:spacing w:before="0" w:beforeAutospacing="0" w:after="0" w:afterAutospacing="0"/>
        <w:jc w:val="both"/>
        <w:rPr>
          <w:rFonts w:ascii="Open Sans" w:hAnsi="Open Sans" w:cs="Open Sans"/>
        </w:rPr>
      </w:pPr>
    </w:p>
    <w:p w:rsidR="003C5D3E" w:rsidRDefault="003C5D3E" w:rsidP="00233E95">
      <w:pPr>
        <w:pStyle w:val="NormalWeb"/>
        <w:spacing w:before="0" w:beforeAutospacing="0" w:after="0" w:afterAutospacing="0"/>
        <w:jc w:val="both"/>
        <w:rPr>
          <w:rFonts w:ascii="Open Sans" w:hAnsi="Open Sans" w:cs="Open Sans"/>
        </w:rPr>
      </w:pPr>
      <w:r>
        <w:rPr>
          <w:rFonts w:ascii="Open Sans" w:hAnsi="Open Sans" w:cs="Open Sans"/>
        </w:rPr>
        <w:t>Les changements majeurs concernent :</w:t>
      </w:r>
    </w:p>
    <w:p w:rsidR="003C5D3E" w:rsidRPr="003C5D3E" w:rsidRDefault="003C5D3E" w:rsidP="003C5D3E">
      <w:pPr>
        <w:pStyle w:val="NormalWeb"/>
        <w:numPr>
          <w:ilvl w:val="0"/>
          <w:numId w:val="4"/>
        </w:numPr>
        <w:spacing w:before="0" w:beforeAutospacing="0" w:after="0" w:afterAutospacing="0"/>
        <w:jc w:val="both"/>
        <w:rPr>
          <w:rFonts w:ascii="Open Sans" w:hAnsi="Open Sans" w:cs="Open Sans"/>
          <w:b/>
          <w:color w:val="5B9BD5" w:themeColor="accent1"/>
        </w:rPr>
      </w:pPr>
      <w:r>
        <w:rPr>
          <w:rFonts w:ascii="Open Sans" w:hAnsi="Open Sans" w:cs="Open Sans"/>
        </w:rPr>
        <w:t>Le serment des docteurs sera obligatoire au 1</w:t>
      </w:r>
      <w:r w:rsidRPr="003C5D3E">
        <w:rPr>
          <w:rFonts w:ascii="Open Sans" w:hAnsi="Open Sans" w:cs="Open Sans"/>
          <w:vertAlign w:val="superscript"/>
        </w:rPr>
        <w:t>er</w:t>
      </w:r>
      <w:r>
        <w:rPr>
          <w:rFonts w:ascii="Open Sans" w:hAnsi="Open Sans" w:cs="Open Sans"/>
        </w:rPr>
        <w:t xml:space="preserve"> janvier 2023</w:t>
      </w:r>
    </w:p>
    <w:p w:rsidR="003C5D3E" w:rsidRPr="003F38FA" w:rsidRDefault="003C5D3E" w:rsidP="003C5D3E">
      <w:pPr>
        <w:pStyle w:val="NormalWeb"/>
        <w:numPr>
          <w:ilvl w:val="0"/>
          <w:numId w:val="4"/>
        </w:numPr>
        <w:spacing w:before="0" w:beforeAutospacing="0" w:after="0" w:afterAutospacing="0"/>
        <w:jc w:val="both"/>
        <w:rPr>
          <w:rFonts w:ascii="Open Sans" w:hAnsi="Open Sans" w:cs="Open Sans"/>
          <w:b/>
          <w:color w:val="5B9BD5" w:themeColor="accent1"/>
        </w:rPr>
      </w:pPr>
      <w:r>
        <w:rPr>
          <w:rFonts w:ascii="Open Sans" w:hAnsi="Open Sans" w:cs="Open Sans"/>
        </w:rPr>
        <w:t>La constitution des jurys de thèse est modifiée : la direction de thèse ne compte plus dans les quotas d’internes/externes et de rang A/non rang A</w:t>
      </w:r>
      <w:r w:rsidR="003F38FA">
        <w:rPr>
          <w:rFonts w:ascii="Open Sans" w:hAnsi="Open Sans" w:cs="Open Sans"/>
        </w:rPr>
        <w:t xml:space="preserve"> et n’intervient plus dans les jurys avec une voix délibérative.</w:t>
      </w:r>
    </w:p>
    <w:p w:rsidR="003F38FA" w:rsidRDefault="003F38FA" w:rsidP="003C5D3E">
      <w:pPr>
        <w:pStyle w:val="NormalWeb"/>
        <w:numPr>
          <w:ilvl w:val="0"/>
          <w:numId w:val="4"/>
        </w:numPr>
        <w:spacing w:before="0" w:beforeAutospacing="0" w:after="0" w:afterAutospacing="0"/>
        <w:jc w:val="both"/>
        <w:rPr>
          <w:rFonts w:ascii="Open Sans" w:hAnsi="Open Sans" w:cs="Open Sans"/>
          <w:b/>
          <w:color w:val="5B9BD5" w:themeColor="accent1"/>
        </w:rPr>
      </w:pPr>
      <w:r>
        <w:rPr>
          <w:rFonts w:ascii="Open Sans" w:hAnsi="Open Sans" w:cs="Open Sans"/>
        </w:rPr>
        <w:t>Les comités de suivi individuels (CSI) devront se réunir avant toute réinscription : mise en place des CSI pour tous les doctorants de l’EDSP.</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233E95"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Pr>
          <w:rFonts w:ascii="Open Sans" w:hAnsi="Open Sans" w:cs="Open Sans"/>
          <w:b/>
          <w:color w:val="5B9BD5" w:themeColor="accent1"/>
        </w:rPr>
        <w:t>Parole aux doctorants</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233E95" w:rsidRDefault="003F38FA" w:rsidP="00233E95">
      <w:pPr>
        <w:pStyle w:val="NormalWeb"/>
        <w:spacing w:before="0" w:beforeAutospacing="0" w:after="0" w:afterAutospacing="0"/>
        <w:jc w:val="both"/>
        <w:rPr>
          <w:rFonts w:ascii="Open Sans" w:hAnsi="Open Sans" w:cs="Open Sans"/>
        </w:rPr>
      </w:pPr>
      <w:r>
        <w:rPr>
          <w:rFonts w:ascii="Open Sans" w:hAnsi="Open Sans" w:cs="Open Sans"/>
        </w:rPr>
        <w:t>La question de l’isolement de certains doctorants a été abordée et notamment quant à différentes informations. Il a été proposé qu’un mail serait envoyé à tous les doctorants par les doctorants élus représentants des doctorants au conseil pour essayer de faire remonter au conseil des points divers par les doctorants.</w:t>
      </w:r>
    </w:p>
    <w:p w:rsidR="003F38FA" w:rsidRDefault="003F38FA" w:rsidP="00233E95">
      <w:pPr>
        <w:pStyle w:val="NormalWeb"/>
        <w:spacing w:before="0" w:beforeAutospacing="0" w:after="0" w:afterAutospacing="0"/>
        <w:jc w:val="both"/>
        <w:rPr>
          <w:rFonts w:ascii="Open Sans" w:hAnsi="Open Sans" w:cs="Open Sans"/>
          <w:b/>
          <w:color w:val="5B9BD5" w:themeColor="accent1"/>
        </w:rPr>
      </w:pPr>
    </w:p>
    <w:p w:rsidR="00233E95"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Pr>
          <w:rFonts w:ascii="Open Sans" w:hAnsi="Open Sans" w:cs="Open Sans"/>
          <w:b/>
          <w:color w:val="5B9BD5" w:themeColor="accent1"/>
        </w:rPr>
        <w:t xml:space="preserve">Point GS SP </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3F38FA" w:rsidRDefault="003F38FA" w:rsidP="00233E95">
      <w:pPr>
        <w:pStyle w:val="NormalWeb"/>
        <w:spacing w:before="0" w:beforeAutospacing="0" w:after="0" w:afterAutospacing="0"/>
        <w:jc w:val="both"/>
        <w:rPr>
          <w:rFonts w:ascii="Open Sans" w:hAnsi="Open Sans" w:cs="Open Sans"/>
        </w:rPr>
      </w:pPr>
      <w:r>
        <w:rPr>
          <w:rFonts w:ascii="Open Sans" w:hAnsi="Open Sans" w:cs="Open Sans"/>
        </w:rPr>
        <w:t>La</w:t>
      </w:r>
      <w:r>
        <w:rPr>
          <w:rFonts w:ascii="Open Sans" w:hAnsi="Open Sans" w:cs="Open Sans"/>
        </w:rPr>
        <w:t xml:space="preserve"> GS permet aux doctorants de pouvoir bénéficier de bourses de mobilité internationale pour des « </w:t>
      </w:r>
      <w:proofErr w:type="spellStart"/>
      <w:r>
        <w:rPr>
          <w:rFonts w:ascii="Open Sans" w:hAnsi="Open Sans" w:cs="Open Sans"/>
        </w:rPr>
        <w:t>summer</w:t>
      </w:r>
      <w:proofErr w:type="spellEnd"/>
      <w:r>
        <w:rPr>
          <w:rFonts w:ascii="Open Sans" w:hAnsi="Open Sans" w:cs="Open Sans"/>
        </w:rPr>
        <w:t xml:space="preserve"> </w:t>
      </w:r>
      <w:proofErr w:type="spellStart"/>
      <w:r>
        <w:rPr>
          <w:rFonts w:ascii="Open Sans" w:hAnsi="Open Sans" w:cs="Open Sans"/>
        </w:rPr>
        <w:t>school</w:t>
      </w:r>
      <w:proofErr w:type="spellEnd"/>
      <w:r>
        <w:rPr>
          <w:rFonts w:ascii="Open Sans" w:hAnsi="Open Sans" w:cs="Open Sans"/>
        </w:rPr>
        <w:t> » ou des « </w:t>
      </w:r>
      <w:proofErr w:type="spellStart"/>
      <w:r>
        <w:rPr>
          <w:rFonts w:ascii="Open Sans" w:hAnsi="Open Sans" w:cs="Open Sans"/>
        </w:rPr>
        <w:t>work-shop</w:t>
      </w:r>
      <w:proofErr w:type="spellEnd"/>
      <w:r>
        <w:rPr>
          <w:rFonts w:ascii="Open Sans" w:hAnsi="Open Sans" w:cs="Open Sans"/>
        </w:rPr>
        <w:t> ». La GS offre également des bourses de mobilité pour des chercheurs internationaux dans le cadre de partage d’enseignement.</w:t>
      </w:r>
    </w:p>
    <w:p w:rsidR="003F38FA" w:rsidRDefault="003F38FA" w:rsidP="00233E95">
      <w:pPr>
        <w:pStyle w:val="NormalWeb"/>
        <w:spacing w:before="0" w:beforeAutospacing="0" w:after="0" w:afterAutospacing="0"/>
        <w:jc w:val="both"/>
        <w:rPr>
          <w:rFonts w:ascii="Open Sans" w:hAnsi="Open Sans" w:cs="Open Sans"/>
          <w:b/>
          <w:color w:val="5B9BD5" w:themeColor="accent1"/>
        </w:rPr>
      </w:pPr>
    </w:p>
    <w:p w:rsidR="00233E95" w:rsidRDefault="00233E95" w:rsidP="00233E95">
      <w:pPr>
        <w:pStyle w:val="NormalWeb"/>
        <w:numPr>
          <w:ilvl w:val="0"/>
          <w:numId w:val="2"/>
        </w:numPr>
        <w:spacing w:before="0" w:beforeAutospacing="0" w:after="0" w:afterAutospacing="0"/>
        <w:jc w:val="both"/>
        <w:rPr>
          <w:rFonts w:ascii="Open Sans" w:hAnsi="Open Sans" w:cs="Open Sans"/>
          <w:b/>
          <w:color w:val="5B9BD5" w:themeColor="accent1"/>
        </w:rPr>
      </w:pPr>
      <w:r>
        <w:rPr>
          <w:rFonts w:ascii="Open Sans" w:hAnsi="Open Sans" w:cs="Open Sans"/>
          <w:b/>
          <w:color w:val="5B9BD5" w:themeColor="accent1"/>
        </w:rPr>
        <w:t xml:space="preserve">Remplacement Lucie </w:t>
      </w:r>
      <w:proofErr w:type="spellStart"/>
      <w:r>
        <w:rPr>
          <w:rFonts w:ascii="Open Sans" w:hAnsi="Open Sans" w:cs="Open Sans"/>
          <w:b/>
          <w:color w:val="5B9BD5" w:themeColor="accent1"/>
        </w:rPr>
        <w:t>Penda</w:t>
      </w:r>
      <w:proofErr w:type="spellEnd"/>
      <w:r>
        <w:rPr>
          <w:rFonts w:ascii="Open Sans" w:hAnsi="Open Sans" w:cs="Open Sans"/>
          <w:b/>
          <w:color w:val="5B9BD5" w:themeColor="accent1"/>
        </w:rPr>
        <w:t>, gestionnaire de l’EDSP</w:t>
      </w:r>
    </w:p>
    <w:p w:rsidR="00233E95" w:rsidRDefault="00233E95" w:rsidP="00233E95">
      <w:pPr>
        <w:pStyle w:val="NormalWeb"/>
        <w:spacing w:before="0" w:beforeAutospacing="0" w:after="0" w:afterAutospacing="0"/>
        <w:jc w:val="both"/>
        <w:rPr>
          <w:rFonts w:ascii="Open Sans" w:hAnsi="Open Sans" w:cs="Open Sans"/>
          <w:b/>
          <w:color w:val="5B9BD5" w:themeColor="accent1"/>
        </w:rPr>
      </w:pPr>
    </w:p>
    <w:p w:rsidR="00233E95" w:rsidRPr="003F38FA" w:rsidRDefault="003F38FA" w:rsidP="00233E95">
      <w:pPr>
        <w:pStyle w:val="NormalWeb"/>
        <w:spacing w:before="0" w:beforeAutospacing="0" w:after="0" w:afterAutospacing="0"/>
        <w:jc w:val="both"/>
        <w:rPr>
          <w:rFonts w:ascii="Open Sans" w:hAnsi="Open Sans" w:cs="Open Sans"/>
        </w:rPr>
      </w:pPr>
      <w:r w:rsidRPr="003F38FA">
        <w:rPr>
          <w:rFonts w:ascii="Open Sans" w:hAnsi="Open Sans" w:cs="Open Sans"/>
        </w:rPr>
        <w:t>Lu</w:t>
      </w:r>
      <w:r>
        <w:rPr>
          <w:rFonts w:ascii="Open Sans" w:hAnsi="Open Sans" w:cs="Open Sans"/>
        </w:rPr>
        <w:t xml:space="preserve">cie </w:t>
      </w:r>
      <w:proofErr w:type="spellStart"/>
      <w:r>
        <w:rPr>
          <w:rFonts w:ascii="Open Sans" w:hAnsi="Open Sans" w:cs="Open Sans"/>
        </w:rPr>
        <w:t>Penda</w:t>
      </w:r>
      <w:proofErr w:type="spellEnd"/>
      <w:r>
        <w:rPr>
          <w:rFonts w:ascii="Open Sans" w:hAnsi="Open Sans" w:cs="Open Sans"/>
        </w:rPr>
        <w:t xml:space="preserve"> ne renouvellera pas son contrat de gestionnaire de l’EDSP qui s’arrête au 31 décembre 2022. Nous avons recruté Valérie </w:t>
      </w:r>
      <w:proofErr w:type="spellStart"/>
      <w:r>
        <w:rPr>
          <w:rFonts w:ascii="Open Sans" w:hAnsi="Open Sans" w:cs="Open Sans"/>
        </w:rPr>
        <w:t>Charbit</w:t>
      </w:r>
      <w:proofErr w:type="spellEnd"/>
      <w:r>
        <w:rPr>
          <w:rFonts w:ascii="Open Sans" w:hAnsi="Open Sans" w:cs="Open Sans"/>
        </w:rPr>
        <w:t xml:space="preserve"> comme nouvelle gestionnaire de l’EDSP qui arrivera</w:t>
      </w:r>
      <w:bookmarkStart w:id="0" w:name="_GoBack"/>
      <w:bookmarkEnd w:id="0"/>
      <w:r>
        <w:rPr>
          <w:rFonts w:ascii="Open Sans" w:hAnsi="Open Sans" w:cs="Open Sans"/>
        </w:rPr>
        <w:t xml:space="preserve"> au 1</w:t>
      </w:r>
      <w:r w:rsidRPr="003F38FA">
        <w:rPr>
          <w:rFonts w:ascii="Open Sans" w:hAnsi="Open Sans" w:cs="Open Sans"/>
          <w:vertAlign w:val="superscript"/>
        </w:rPr>
        <w:t>er</w:t>
      </w:r>
      <w:r>
        <w:rPr>
          <w:rFonts w:ascii="Open Sans" w:hAnsi="Open Sans" w:cs="Open Sans"/>
        </w:rPr>
        <w:t xml:space="preserve"> novembre afin de réaliser un tuilage avec Lucie.</w:t>
      </w:r>
    </w:p>
    <w:p w:rsidR="00233E95" w:rsidRDefault="00233E95"/>
    <w:sectPr w:rsidR="00233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E64B7"/>
    <w:multiLevelType w:val="hybridMultilevel"/>
    <w:tmpl w:val="8048E8A2"/>
    <w:lvl w:ilvl="0" w:tplc="B9963220">
      <w:start w:val="6"/>
      <w:numFmt w:val="bullet"/>
      <w:lvlText w:val=""/>
      <w:lvlJc w:val="left"/>
      <w:pPr>
        <w:ind w:left="720" w:hanging="360"/>
      </w:pPr>
      <w:rPr>
        <w:rFonts w:ascii="Wingdings" w:eastAsia="Times New Roman" w:hAnsi="Wingding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DB0C5F"/>
    <w:multiLevelType w:val="hybridMultilevel"/>
    <w:tmpl w:val="DD989AF0"/>
    <w:lvl w:ilvl="0" w:tplc="4796A3EA">
      <w:start w:val="2"/>
      <w:numFmt w:val="bullet"/>
      <w:lvlText w:val="-"/>
      <w:lvlJc w:val="left"/>
      <w:pPr>
        <w:ind w:left="720" w:hanging="360"/>
      </w:pPr>
      <w:rPr>
        <w:rFonts w:ascii="Open Sans" w:eastAsia="Times New Roman" w:hAnsi="Open Sans" w:cs="Open Sans"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6C39A5"/>
    <w:multiLevelType w:val="hybridMultilevel"/>
    <w:tmpl w:val="DAB04F7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DC00E5E"/>
    <w:multiLevelType w:val="hybridMultilevel"/>
    <w:tmpl w:val="DAB04F7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68"/>
    <w:rsid w:val="00030F68"/>
    <w:rsid w:val="00233E95"/>
    <w:rsid w:val="00267BAB"/>
    <w:rsid w:val="003C5D3E"/>
    <w:rsid w:val="003F38FA"/>
    <w:rsid w:val="00877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85B53-4EBF-420F-831F-B06513A8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F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30F6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MENEGAUX</dc:creator>
  <cp:keywords/>
  <dc:description/>
  <cp:lastModifiedBy>FLORENCE MENEGAUX</cp:lastModifiedBy>
  <cp:revision>2</cp:revision>
  <dcterms:created xsi:type="dcterms:W3CDTF">2023-02-22T09:19:00Z</dcterms:created>
  <dcterms:modified xsi:type="dcterms:W3CDTF">2023-02-22T09:19:00Z</dcterms:modified>
</cp:coreProperties>
</file>